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CB57" w14:textId="77777777" w:rsidR="00B53F76" w:rsidRPr="00284EAA" w:rsidRDefault="00B53F76" w:rsidP="00B53F76">
      <w:pPr>
        <w:tabs>
          <w:tab w:val="left" w:pos="0"/>
          <w:tab w:val="left" w:pos="993"/>
        </w:tabs>
        <w:jc w:val="center"/>
        <w:rPr>
          <w:rFonts w:ascii="Aptos" w:hAnsi="Aptos"/>
          <w:b/>
          <w:bCs/>
          <w:sz w:val="20"/>
          <w:szCs w:val="20"/>
        </w:rPr>
      </w:pPr>
      <w:bookmarkStart w:id="0" w:name="_Hlk208923350"/>
      <w:r w:rsidRPr="00284EAA">
        <w:rPr>
          <w:rFonts w:ascii="Aptos" w:hAnsi="Aptos"/>
          <w:b/>
          <w:bCs/>
          <w:sz w:val="20"/>
          <w:szCs w:val="20"/>
        </w:rPr>
        <w:t>Klauzula informacyjna dotycząca przetwarzania danych osobowych</w:t>
      </w:r>
      <w:bookmarkStart w:id="1" w:name="_Hlk515380180"/>
      <w:bookmarkEnd w:id="1"/>
      <w:r w:rsidRPr="00284EAA">
        <w:rPr>
          <w:rFonts w:ascii="Aptos" w:hAnsi="Aptos"/>
          <w:b/>
          <w:bCs/>
          <w:sz w:val="20"/>
          <w:szCs w:val="20"/>
        </w:rPr>
        <w:t xml:space="preserve"> – </w:t>
      </w:r>
    </w:p>
    <w:p w14:paraId="3D25089D" w14:textId="1D7CB94D" w:rsidR="00B53F76" w:rsidRPr="00284EAA" w:rsidRDefault="00B53F76" w:rsidP="00B53F76">
      <w:pPr>
        <w:tabs>
          <w:tab w:val="left" w:pos="0"/>
          <w:tab w:val="left" w:pos="993"/>
        </w:tabs>
        <w:jc w:val="center"/>
        <w:rPr>
          <w:rFonts w:ascii="Aptos" w:hAnsi="Aptos"/>
          <w:b/>
          <w:bCs/>
          <w:sz w:val="20"/>
          <w:szCs w:val="20"/>
        </w:rPr>
      </w:pPr>
      <w:r w:rsidRPr="00284EAA">
        <w:rPr>
          <w:rFonts w:ascii="Aptos" w:hAnsi="Aptos"/>
          <w:b/>
          <w:bCs/>
          <w:sz w:val="20"/>
          <w:szCs w:val="20"/>
        </w:rPr>
        <w:t>Podlaskie Centrum Psychogeriatrii w Białymstoku</w:t>
      </w:r>
    </w:p>
    <w:p w14:paraId="50C8371E" w14:textId="77777777" w:rsidR="00B53F76" w:rsidRPr="00284EAA" w:rsidRDefault="00B53F76" w:rsidP="00B53F76">
      <w:pPr>
        <w:pStyle w:val="Default"/>
        <w:jc w:val="center"/>
        <w:rPr>
          <w:rFonts w:ascii="Aptos" w:hAnsi="Aptos" w:cs="Book Antiqua"/>
          <w:sz w:val="20"/>
          <w:szCs w:val="20"/>
        </w:rPr>
      </w:pPr>
    </w:p>
    <w:p w14:paraId="2BF749B3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Uprzejmie prosimy o uważne zapoznanie się z poniższą informacją dotyczącą przetwarzania danych osobowych w ramach </w:t>
      </w:r>
      <w:r w:rsidRPr="00284EAA">
        <w:rPr>
          <w:rFonts w:ascii="Aptos" w:hAnsi="Aptos"/>
          <w:sz w:val="20"/>
          <w:szCs w:val="20"/>
        </w:rPr>
        <w:t>Podlaskiego Centrum Psychogeriatrii w Białymstoku.</w:t>
      </w:r>
    </w:p>
    <w:p w14:paraId="48D31CA9" w14:textId="4E5BC702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„Rozporządzeniem”, informujemy, że: </w:t>
      </w:r>
    </w:p>
    <w:p w14:paraId="65FF67EB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b/>
          <w:bCs/>
          <w:sz w:val="20"/>
          <w:szCs w:val="20"/>
        </w:rPr>
      </w:pPr>
    </w:p>
    <w:p w14:paraId="12428B20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 xml:space="preserve">1. Administrator danych osobowych </w:t>
      </w:r>
    </w:p>
    <w:p w14:paraId="1DDFFB8E" w14:textId="1FCACBB3" w:rsidR="00B53F76" w:rsidRPr="00284EAA" w:rsidRDefault="00B53F76" w:rsidP="00B53F76">
      <w:pPr>
        <w:spacing w:line="276" w:lineRule="auto"/>
        <w:jc w:val="both"/>
        <w:rPr>
          <w:rFonts w:ascii="Aptos" w:hAnsi="Aptos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Administratorem Danych osobowych przetwarzanych w ramach </w:t>
      </w:r>
      <w:bookmarkStart w:id="2" w:name="_Hlk203672151"/>
      <w:r w:rsidRPr="00284EAA">
        <w:rPr>
          <w:rFonts w:ascii="Aptos" w:hAnsi="Aptos" w:cs="Book Antiqua"/>
          <w:sz w:val="20"/>
          <w:szCs w:val="20"/>
        </w:rPr>
        <w:t xml:space="preserve">Podlaskiego Centrum </w:t>
      </w:r>
      <w:r w:rsidR="007B5958" w:rsidRPr="00284EAA">
        <w:rPr>
          <w:rFonts w:ascii="Aptos" w:hAnsi="Aptos" w:cs="Book Antiqua"/>
          <w:sz w:val="20"/>
          <w:szCs w:val="20"/>
        </w:rPr>
        <w:t>Psychogeriatrii</w:t>
      </w:r>
      <w:r w:rsidRPr="00284EAA">
        <w:rPr>
          <w:rFonts w:ascii="Aptos" w:hAnsi="Aptos" w:cs="Book Antiqua"/>
          <w:sz w:val="20"/>
          <w:szCs w:val="20"/>
        </w:rPr>
        <w:t xml:space="preserve"> w Białymstoku </w:t>
      </w:r>
      <w:bookmarkEnd w:id="2"/>
      <w:r w:rsidRPr="00284EAA">
        <w:rPr>
          <w:rFonts w:ascii="Aptos" w:hAnsi="Aptos" w:cs="Book Antiqua"/>
          <w:sz w:val="20"/>
          <w:szCs w:val="20"/>
        </w:rPr>
        <w:t xml:space="preserve">jest </w:t>
      </w:r>
      <w:proofErr w:type="spellStart"/>
      <w:r w:rsidRPr="00284EAA">
        <w:rPr>
          <w:rFonts w:ascii="Aptos" w:hAnsi="Aptos"/>
          <w:sz w:val="20"/>
          <w:szCs w:val="20"/>
        </w:rPr>
        <w:t>Revit</w:t>
      </w:r>
      <w:proofErr w:type="spellEnd"/>
      <w:r w:rsidRPr="00284EAA">
        <w:rPr>
          <w:rFonts w:ascii="Aptos" w:hAnsi="Aptos"/>
          <w:sz w:val="20"/>
          <w:szCs w:val="20"/>
        </w:rPr>
        <w:t xml:space="preserve"> sp. z o.o. z siedzibą przy ul. Swobodnej 38 w Białymstoku (15-756 Białystok).</w:t>
      </w:r>
    </w:p>
    <w:p w14:paraId="34C24184" w14:textId="77777777" w:rsidR="00B53F76" w:rsidRPr="00284EAA" w:rsidRDefault="00B53F76" w:rsidP="00B53F76">
      <w:pPr>
        <w:spacing w:line="276" w:lineRule="auto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Z Administratorem można kontaktować się we wszystkich sprawach dotyczących przetwarzania danych osobowych oraz korzystania z praw związanych z przetwarzaniem danych. </w:t>
      </w:r>
    </w:p>
    <w:p w14:paraId="1B583102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>Administrator nie udziela telefonicznie informacji na temat przetwarzanych danych osobowych</w:t>
      </w:r>
      <w:r w:rsidRPr="00284EAA">
        <w:rPr>
          <w:rFonts w:ascii="Aptos" w:hAnsi="Aptos" w:cs="Book Antiqua"/>
          <w:sz w:val="20"/>
          <w:szCs w:val="20"/>
        </w:rPr>
        <w:t xml:space="preserve">, również osobom, których dane dotyczą ze względu na brak możliwości bezpiecznej i jednoznacznej identyfikacji osób gwarantującej ochronę prywatności i dóbr osobistych. </w:t>
      </w:r>
    </w:p>
    <w:p w14:paraId="215CDB37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b/>
          <w:bCs/>
          <w:sz w:val="20"/>
          <w:szCs w:val="20"/>
        </w:rPr>
      </w:pPr>
    </w:p>
    <w:p w14:paraId="02529D62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 xml:space="preserve">2. Administrator wyznaczył Inspektora Ochrony Danych. </w:t>
      </w:r>
      <w:r w:rsidRPr="00284EAA">
        <w:rPr>
          <w:rFonts w:ascii="Aptos" w:hAnsi="Aptos" w:cs="Book Antiqua"/>
          <w:sz w:val="20"/>
          <w:szCs w:val="20"/>
        </w:rPr>
        <w:t>W sprawach ochrony danych można kontaktować się z Inspektorem Ochrony Danych pod adresem iod@psychiatria.bialystok.pl lub korespondencyjnie na adres administratora z dopiskiem „IOD”.</w:t>
      </w:r>
    </w:p>
    <w:p w14:paraId="366C6842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b/>
          <w:bCs/>
          <w:sz w:val="20"/>
          <w:szCs w:val="20"/>
        </w:rPr>
      </w:pPr>
    </w:p>
    <w:p w14:paraId="77E87388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b/>
          <w:bCs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 xml:space="preserve">3. Dane osobowe są przetwarzane w celu: </w:t>
      </w:r>
    </w:p>
    <w:p w14:paraId="5644E1CE" w14:textId="77777777" w:rsidR="000F0869" w:rsidRPr="00284EAA" w:rsidRDefault="000F0869" w:rsidP="000F0869">
      <w:pPr>
        <w:spacing w:before="12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ar-SA"/>
        </w:rPr>
        <w:t>Pani/Pana dane przetwarzane są w celach wskazanych w poniższej tabeli:</w:t>
      </w:r>
    </w:p>
    <w:tbl>
      <w:tblPr>
        <w:tblW w:w="0" w:type="auto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65"/>
        <w:gridCol w:w="4870"/>
      </w:tblGrid>
      <w:tr w:rsidR="000F0869" w:rsidRPr="00284EAA" w14:paraId="1FB2922D" w14:textId="77777777" w:rsidTr="00AB06BE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92D3" w14:textId="77777777" w:rsidR="000F0869" w:rsidRPr="00284EAA" w:rsidRDefault="000F0869" w:rsidP="004C3B20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284EAA">
              <w:rPr>
                <w:rFonts w:ascii="Aptos" w:hAnsi="Aptos" w:cs="Book Antiqua"/>
                <w:b/>
                <w:bCs/>
                <w:color w:val="333333"/>
                <w:sz w:val="20"/>
                <w:szCs w:val="20"/>
              </w:rPr>
              <w:t>CEL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6D36" w14:textId="77777777" w:rsidR="000F0869" w:rsidRPr="00284EAA" w:rsidRDefault="000F0869" w:rsidP="004C3B20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284EAA">
              <w:rPr>
                <w:rFonts w:ascii="Aptos" w:hAnsi="Aptos" w:cs="Book Antiqua"/>
                <w:b/>
                <w:bCs/>
                <w:color w:val="333333"/>
                <w:sz w:val="20"/>
                <w:szCs w:val="20"/>
              </w:rPr>
              <w:t>PODSTAWA PRAWNA</w:t>
            </w:r>
          </w:p>
        </w:tc>
      </w:tr>
      <w:tr w:rsidR="00AB06BE" w:rsidRPr="00284EAA" w14:paraId="3B85708D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8F02" w14:textId="38578FC7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udzielanie świadczeń zdrowotnych, diagnostyka, terapia, pielęgnacja, kontynuacja leczenia, koordynacja opieki.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FE37" w14:textId="60BD54E9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c lub d RODO + art. 9 ust. 2 lit. h RODO w zw. z ustawą o działalności leczniczej, ustawą o prawach pacjenta i rozporządzeniem o dokumentacji medycznej</w:t>
            </w:r>
            <w:r w:rsidRPr="00284EAA">
              <w:rPr>
                <w:rFonts w:ascii="Aptos" w:hAnsi="Aptos"/>
                <w:sz w:val="20"/>
                <w:szCs w:val="20"/>
              </w:rPr>
              <w:t>; w sytuacjach nagłych podstawą może być również art. 6 ust. 1 lit. d (żywotny interes)</w:t>
            </w:r>
          </w:p>
        </w:tc>
      </w:tr>
      <w:tr w:rsidR="00AB06BE" w:rsidRPr="00284EAA" w14:paraId="03F6DD4A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B2B5" w14:textId="7D58CAE4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prowadzenie i udostępnianie dokumentacji medycznej, identyfikacja pacjenta, rozliczenia z NFZ.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894B" w14:textId="2AC14E57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c RODO + art. 9 ust. 2 lit. h RODO w zw. z przepisami o dokumentacji i finansowaniu świadczeń</w:t>
            </w:r>
            <w:r w:rsidRPr="00284EAA">
              <w:rPr>
                <w:rFonts w:ascii="Aptos" w:hAnsi="Aptos"/>
                <w:sz w:val="20"/>
                <w:szCs w:val="20"/>
              </w:rPr>
              <w:t>; w sytuacjach nagłych podstawą może być również art. 6 ust. 1 lit. d (żywotny interes)</w:t>
            </w:r>
          </w:p>
        </w:tc>
      </w:tr>
      <w:tr w:rsidR="00AB06BE" w:rsidRPr="00284EAA" w14:paraId="68D7BB46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0799" w14:textId="431858AB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rejestracja, planowanie wizyt, przypomnienia, komunikacja organizacyjna, zapewnienie jakości i bezpieczeństwa świadczeń, zarządzanie systemami opieki.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3666" w14:textId="180E678C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c/d RODO + art. 9 ust. 2 lit. h RODO</w:t>
            </w:r>
            <w:r w:rsidRPr="00284EAA">
              <w:rPr>
                <w:rFonts w:ascii="Aptos" w:hAnsi="Aptos"/>
                <w:sz w:val="20"/>
                <w:szCs w:val="20"/>
              </w:rPr>
              <w:t>; w sytuacjach nagłych podstawą może być również art. 6 ust. 1 lit. d (żywotny interes)</w:t>
            </w:r>
          </w:p>
        </w:tc>
      </w:tr>
      <w:tr w:rsidR="00AB06BE" w:rsidRPr="00284EAA" w14:paraId="327A68DE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4C90" w14:textId="579D2638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profilaktyka zdrowotna i programy zdrowotne (zaproszenia na badania w ramach programów publicznych)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E0BE1" w14:textId="446A21FC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c lub e RODO + art. 9 ust. 2 lit. h RODO.</w:t>
            </w:r>
          </w:p>
        </w:tc>
      </w:tr>
      <w:tr w:rsidR="00AB06BE" w:rsidRPr="00284EAA" w14:paraId="5983A306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D3FC" w14:textId="30F65435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284EAA">
              <w:rPr>
                <w:rFonts w:ascii="Aptos" w:hAnsi="Aptos"/>
                <w:sz w:val="20"/>
                <w:szCs w:val="20"/>
              </w:rPr>
              <w:t xml:space="preserve">prowadzenie </w:t>
            </w:r>
            <w:r w:rsidRPr="000A1E9D">
              <w:rPr>
                <w:rFonts w:ascii="Aptos" w:hAnsi="Aptos"/>
                <w:sz w:val="20"/>
                <w:szCs w:val="20"/>
              </w:rPr>
              <w:t>rachunkowo</w:t>
            </w:r>
            <w:r w:rsidRPr="00284EAA">
              <w:rPr>
                <w:rFonts w:ascii="Aptos" w:hAnsi="Aptos"/>
                <w:sz w:val="20"/>
                <w:szCs w:val="20"/>
              </w:rPr>
              <w:t>ści</w:t>
            </w:r>
            <w:r w:rsidRPr="000A1E9D">
              <w:rPr>
                <w:rFonts w:ascii="Aptos" w:hAnsi="Aptos"/>
                <w:sz w:val="20"/>
                <w:szCs w:val="20"/>
              </w:rPr>
              <w:t xml:space="preserve">, </w:t>
            </w:r>
            <w:r w:rsidRPr="00284EAA">
              <w:rPr>
                <w:rFonts w:ascii="Aptos" w:hAnsi="Aptos"/>
                <w:sz w:val="20"/>
                <w:szCs w:val="20"/>
              </w:rPr>
              <w:t xml:space="preserve">rozliczanie </w:t>
            </w:r>
            <w:r w:rsidRPr="000A1E9D">
              <w:rPr>
                <w:rFonts w:ascii="Aptos" w:hAnsi="Aptos"/>
                <w:sz w:val="20"/>
                <w:szCs w:val="20"/>
              </w:rPr>
              <w:t>podat</w:t>
            </w:r>
            <w:r w:rsidRPr="00284EAA">
              <w:rPr>
                <w:rFonts w:ascii="Aptos" w:hAnsi="Aptos"/>
                <w:sz w:val="20"/>
                <w:szCs w:val="20"/>
              </w:rPr>
              <w:t>ków</w:t>
            </w:r>
            <w:r w:rsidRPr="000A1E9D">
              <w:rPr>
                <w:rFonts w:ascii="Aptos" w:hAnsi="Aptos"/>
                <w:sz w:val="20"/>
                <w:szCs w:val="20"/>
              </w:rPr>
              <w:t>, sprawozdawczość, archiwizacja ustawowa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1B06" w14:textId="7E29C00C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c RODO; dla danych medycznych – przetwarzanie wtórne w ramach celu zdrowotnego i obowiązków prawnych</w:t>
            </w:r>
            <w:r w:rsidRPr="00284EAA">
              <w:rPr>
                <w:rFonts w:ascii="Aptos" w:hAnsi="Aptos"/>
                <w:sz w:val="20"/>
                <w:szCs w:val="20"/>
              </w:rPr>
              <w:t>, ustawa o rachunkowości, Ordynacja podatkowa</w:t>
            </w:r>
          </w:p>
        </w:tc>
      </w:tr>
      <w:tr w:rsidR="00AB06BE" w:rsidRPr="00284EAA" w14:paraId="6B3194D6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201F6" w14:textId="4210508B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realizacja uprawnień pacjenta (udostępnienia, upoważnienia, sprzeciwy), obsługa wniosków z art. 15–22 RODO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F99C" w14:textId="1130CD99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c RODO + art. 9 ust. 2 lit. h RODO.</w:t>
            </w:r>
          </w:p>
        </w:tc>
      </w:tr>
      <w:tr w:rsidR="00AB06BE" w:rsidRPr="00284EAA" w14:paraId="5CAAB3E4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D206" w14:textId="3A20682A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ustalenie, dochodzenie lub obrona przed roszczeniami, dochodzenia wewnętrzne, incydenty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E4B4" w14:textId="71C23DFC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f RODO (uzasadniony interes) + art. 9 ust. 2 lit. f RODO (ustalenie/</w:t>
            </w:r>
            <w:r w:rsidRPr="00284EAA">
              <w:rPr>
                <w:rFonts w:ascii="Aptos" w:hAnsi="Aptos"/>
                <w:sz w:val="20"/>
                <w:szCs w:val="20"/>
              </w:rPr>
              <w:t xml:space="preserve"> </w:t>
            </w:r>
            <w:r w:rsidRPr="000A1E9D">
              <w:rPr>
                <w:rFonts w:ascii="Aptos" w:hAnsi="Aptos"/>
                <w:sz w:val="20"/>
                <w:szCs w:val="20"/>
              </w:rPr>
              <w:t>dochodzenie/</w:t>
            </w:r>
            <w:r w:rsidRPr="00284EAA">
              <w:rPr>
                <w:rFonts w:ascii="Aptos" w:hAnsi="Aptos"/>
                <w:sz w:val="20"/>
                <w:szCs w:val="20"/>
              </w:rPr>
              <w:t xml:space="preserve"> </w:t>
            </w:r>
            <w:r w:rsidRPr="000A1E9D">
              <w:rPr>
                <w:rFonts w:ascii="Aptos" w:hAnsi="Aptos"/>
                <w:sz w:val="20"/>
                <w:szCs w:val="20"/>
              </w:rPr>
              <w:t>obrona roszczeń).</w:t>
            </w:r>
          </w:p>
        </w:tc>
      </w:tr>
      <w:tr w:rsidR="00AB06BE" w:rsidRPr="00284EAA" w14:paraId="344CA513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6C5E" w14:textId="3C90E78A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bezpieczeństwo IT/</w:t>
            </w:r>
            <w:proofErr w:type="spellStart"/>
            <w:r w:rsidRPr="000A1E9D">
              <w:rPr>
                <w:rFonts w:ascii="Aptos" w:hAnsi="Aptos"/>
                <w:sz w:val="20"/>
                <w:szCs w:val="20"/>
              </w:rPr>
              <w:t>cyber</w:t>
            </w:r>
            <w:proofErr w:type="spellEnd"/>
            <w:r w:rsidRPr="000A1E9D">
              <w:rPr>
                <w:rFonts w:ascii="Aptos" w:hAnsi="Aptos"/>
                <w:sz w:val="20"/>
                <w:szCs w:val="20"/>
              </w:rPr>
              <w:t>, monitoring dostępu do systemów medycznych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00D5" w14:textId="535599A2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c/f RODO + art. 9 ust. 2 lit. h (jeśli dotyczy danych zdrowotnych).</w:t>
            </w:r>
          </w:p>
        </w:tc>
      </w:tr>
      <w:tr w:rsidR="00AB06BE" w:rsidRPr="00284EAA" w14:paraId="6AC445D0" w14:textId="77777777" w:rsidTr="0089181D">
        <w:tc>
          <w:tcPr>
            <w:tcW w:w="4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8A05" w14:textId="4528CF76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publikacja wizerunku, użycie danych w materiałach promocyjnych, komunikacja o dostępnych świadczeniach poza bieżącą opieką (mail/SMS/telefon), udostępnianie osobom trzecim spoza kręgu uprawnionych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A8C0" w14:textId="77777777" w:rsidR="00AB06BE" w:rsidRPr="000A1E9D" w:rsidRDefault="00AB06BE" w:rsidP="00AB06BE">
            <w:pPr>
              <w:spacing w:after="160" w:line="259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0A1E9D">
              <w:rPr>
                <w:rFonts w:ascii="Aptos" w:hAnsi="Aptos"/>
                <w:sz w:val="20"/>
                <w:szCs w:val="20"/>
              </w:rPr>
              <w:t>art. 6 ust. 1 lit. a RODO (zgoda) + w razie danych szczególnych art. 9 ust. 2 lit. a RODO; dla e</w:t>
            </w:r>
            <w:r w:rsidRPr="000A1E9D">
              <w:rPr>
                <w:rFonts w:ascii="Aptos" w:hAnsi="Aptos"/>
                <w:sz w:val="20"/>
                <w:szCs w:val="20"/>
              </w:rPr>
              <w:noBreakHyphen/>
              <w:t>mail/telefon dodatkowo przepisy komunikacyjne (UŚUDE/PKE, PT).</w:t>
            </w:r>
          </w:p>
          <w:p w14:paraId="5DFDC039" w14:textId="77777777" w:rsidR="00AB06BE" w:rsidRPr="00284EAA" w:rsidRDefault="00AB06BE" w:rsidP="00AB06BE">
            <w:pPr>
              <w:jc w:val="center"/>
              <w:rPr>
                <w:rFonts w:ascii="Aptos" w:hAnsi="Aptos" w:cs="Book Antiqua"/>
                <w:color w:val="333333"/>
                <w:sz w:val="20"/>
                <w:szCs w:val="20"/>
              </w:rPr>
            </w:pPr>
          </w:p>
        </w:tc>
      </w:tr>
    </w:tbl>
    <w:p w14:paraId="082D8B47" w14:textId="77777777" w:rsidR="000F0869" w:rsidRPr="00284EAA" w:rsidRDefault="000F0869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</w:p>
    <w:p w14:paraId="5604730C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  <w:lang w:eastAsia="en-US"/>
        </w:rPr>
      </w:pPr>
    </w:p>
    <w:p w14:paraId="3F4A02D7" w14:textId="76AC07B1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  <w:lang w:eastAsia="en-US"/>
        </w:rPr>
      </w:pPr>
      <w:r w:rsidRPr="00284EAA">
        <w:rPr>
          <w:rFonts w:ascii="Aptos" w:hAnsi="Aptos" w:cs="Book Antiqua"/>
          <w:sz w:val="20"/>
          <w:szCs w:val="20"/>
          <w:lang w:eastAsia="en-US"/>
        </w:rPr>
        <w:lastRenderedPageBreak/>
        <w:t xml:space="preserve">Pozyskane dane osobowe, w tym w szczególności dane Pacjenta, mogą być weryfikowane przez Administratora w systemie </w:t>
      </w:r>
      <w:proofErr w:type="spellStart"/>
      <w:r w:rsidRPr="00284EAA">
        <w:rPr>
          <w:rFonts w:ascii="Aptos" w:hAnsi="Aptos" w:cs="Book Antiqua"/>
          <w:sz w:val="20"/>
          <w:szCs w:val="20"/>
          <w:lang w:eastAsia="en-US"/>
        </w:rPr>
        <w:t>eWUŚ</w:t>
      </w:r>
      <w:proofErr w:type="spellEnd"/>
      <w:r w:rsidRPr="00284EAA">
        <w:rPr>
          <w:rFonts w:ascii="Aptos" w:hAnsi="Aptos" w:cs="Book Antiqua"/>
          <w:sz w:val="20"/>
          <w:szCs w:val="20"/>
          <w:lang w:eastAsia="en-US"/>
        </w:rPr>
        <w:t xml:space="preserve"> (Elektroniczna Weryfikacja Uprawnień Świadczeniobiorców) oraz innych oficjalnych rejestrach i ewidencjach prowadzonych przez organy publiczne.</w:t>
      </w:r>
    </w:p>
    <w:p w14:paraId="27672891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  <w:lang w:eastAsia="en-US"/>
        </w:rPr>
      </w:pPr>
    </w:p>
    <w:p w14:paraId="050A155A" w14:textId="4144D783" w:rsidR="00B53F76" w:rsidRPr="00284EAA" w:rsidRDefault="00B53F76" w:rsidP="00B53F76">
      <w:pPr>
        <w:pStyle w:val="Default"/>
        <w:jc w:val="both"/>
        <w:rPr>
          <w:rFonts w:ascii="Aptos" w:hAnsi="Aptos" w:cs="Book Antiqua"/>
          <w:b/>
          <w:bCs/>
          <w:sz w:val="20"/>
          <w:szCs w:val="20"/>
          <w:lang w:eastAsia="en-US"/>
        </w:rPr>
      </w:pPr>
      <w:r w:rsidRPr="00284EAA">
        <w:rPr>
          <w:rFonts w:ascii="Aptos" w:hAnsi="Aptos" w:cs="Book Antiqua"/>
          <w:b/>
          <w:bCs/>
          <w:sz w:val="20"/>
          <w:szCs w:val="20"/>
          <w:lang w:eastAsia="en-US"/>
        </w:rPr>
        <w:t>4. Źródło danych</w:t>
      </w:r>
    </w:p>
    <w:p w14:paraId="335F3D7B" w14:textId="77777777" w:rsidR="00B53F76" w:rsidRPr="00284EAA" w:rsidRDefault="00B53F76" w:rsidP="00B53F76">
      <w:pPr>
        <w:spacing w:before="12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Dane osobowe Pacjenta mogą być pozyskiwane:</w:t>
      </w:r>
    </w:p>
    <w:p w14:paraId="67C65A25" w14:textId="77777777" w:rsidR="00B53F76" w:rsidRPr="00284EAA" w:rsidRDefault="00B53F76" w:rsidP="00B53F76">
      <w:pPr>
        <w:pStyle w:val="Akapitzlist"/>
        <w:numPr>
          <w:ilvl w:val="0"/>
          <w:numId w:val="8"/>
        </w:numPr>
        <w:ind w:left="567" w:hanging="283"/>
        <w:contextualSpacing w:val="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bezpośrednio od Pacjenta lub od innych podmiotów, w tym od osoby działającej w imieniu Pacjenta, która jest przedstawicielem ustawowym, opiekunem prawnym, opiekunem faktycznym lub osobą bliską dla Pacjenta – osobiście, przez system e-rejestracji lub telefonicznie;</w:t>
      </w:r>
    </w:p>
    <w:p w14:paraId="3F7D1BB4" w14:textId="77777777" w:rsidR="00B53F76" w:rsidRPr="00284EAA" w:rsidRDefault="00B53F76" w:rsidP="00B53F76">
      <w:pPr>
        <w:pStyle w:val="Akapitzlist"/>
        <w:numPr>
          <w:ilvl w:val="0"/>
          <w:numId w:val="8"/>
        </w:numPr>
        <w:spacing w:before="120"/>
        <w:ind w:left="567" w:hanging="283"/>
        <w:contextualSpacing w:val="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od innych podmiotów wykonujących świadczenia zdrowotne, a to w związku z prawem do udostępnienia dokumentacji medycznej, jeżeli jest to niezbędne do zapewnienia ciągłości świadczeń zdrowotnych;</w:t>
      </w:r>
    </w:p>
    <w:p w14:paraId="3D9C8F33" w14:textId="77777777" w:rsidR="00B53F76" w:rsidRPr="00284EAA" w:rsidRDefault="00B53F76" w:rsidP="00B53F76">
      <w:pPr>
        <w:pStyle w:val="Akapitzlist"/>
        <w:numPr>
          <w:ilvl w:val="0"/>
          <w:numId w:val="8"/>
        </w:numPr>
        <w:spacing w:before="120"/>
        <w:ind w:left="567" w:hanging="283"/>
        <w:contextualSpacing w:val="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z oficjalnych, publicznie dostępnych źródeł, prowadzonych przez organy publiczne,</w:t>
      </w:r>
    </w:p>
    <w:p w14:paraId="3A2E63F4" w14:textId="77777777" w:rsidR="00B53F76" w:rsidRPr="00284EAA" w:rsidRDefault="00B53F76" w:rsidP="00B53F76">
      <w:pPr>
        <w:pStyle w:val="Akapitzlist"/>
        <w:numPr>
          <w:ilvl w:val="0"/>
          <w:numId w:val="8"/>
        </w:numPr>
        <w:ind w:left="567" w:hanging="283"/>
        <w:contextualSpacing w:val="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bezpośrednio od podmiotów trzecich np. Rzecznika Praw Pacjenta, Narodowego Funduszu Zdrowia, Ministerstwa Zdrowia, Zakładu Ubezpieczeń Społecznych, Konsultantów Krajowych, Ośrodków Pomocy Społecznej, Domów Dziecka, Placówek Opiekuńczo-Wychowawczych, Sądów, Policji, Prokuratury, w ramach postępowań prowadzonych przez te podmioty.</w:t>
      </w:r>
    </w:p>
    <w:p w14:paraId="20BD6BF9" w14:textId="77777777" w:rsidR="00B53F76" w:rsidRPr="00284EAA" w:rsidRDefault="00B53F76" w:rsidP="00B53F76">
      <w:p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Otrzymane od innych podmiotów dane mogą zawierać w zależności od konkretnego przypadku: dane identyfikacyjne, szczegóły dotyczące ubezpieczenia, opis wyglądu, dane dotyczące zdrowia fizycznego, dane dotyczące zdrowia psychicznego, informacje o nałogach, dane psychologiczne, dane dotyczące innych członków rodziny lub domowników, informację o miejscu zatrudnienia, dane dotyczące płodności, dane genetyczne, dane dotyczące medycyny pracy, dane dotyczące pochodzenia rasowego lub etnicznego, dane dotyczące życia seksualnego, dane dotyczące wizerunku.</w:t>
      </w:r>
    </w:p>
    <w:p w14:paraId="43BFE273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b/>
          <w:bCs/>
          <w:sz w:val="20"/>
          <w:szCs w:val="20"/>
          <w:lang w:eastAsia="en-US"/>
        </w:rPr>
      </w:pPr>
    </w:p>
    <w:p w14:paraId="5F1DF76E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</w:p>
    <w:p w14:paraId="1BAA24CF" w14:textId="1303E70F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 xml:space="preserve">5. Odbiorcy danych osobowych </w:t>
      </w:r>
    </w:p>
    <w:p w14:paraId="40367F23" w14:textId="77777777" w:rsidR="00B53F76" w:rsidRPr="00284EAA" w:rsidRDefault="00B53F76" w:rsidP="00B53F76">
      <w:pPr>
        <w:spacing w:before="12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ar-SA"/>
        </w:rPr>
        <w:t>Odbiorcą Pani/Pana danych mogą być podmioty lecznicze współpracujące z administratorem w celu zapewnienia ciągłości leczenia oraz dostępności świadczeń zdrowotnych, podmioty uprawnionym przepisami prawa (w szczególności wynikające ustawy z dnia 8 czerwca 2017 r. o prawach pacjenta i Rzeczniku Praw Pacjenta, dostawcy usług technicznych i organizacyjnych dla administratora, które umożliwiają udzielanie świadczeń zdrowotnych (w szczególności dostawcy usług teleinformatycznych, dostawcy sprzętu diagnostycznego), dostawcy usług prawnych i doradczych oraz wspierający administratora w dochodzeniu należnych roszczeń (w szczególności kancelariom prawnym). Odbiorcami danych osobowych zebranych podczas są także: Narodowy Fundusz Zdrowia, Zakład Ubezpieczeń Społecznych, Rzecznik Praw Pacjenta, Ministerstwo Zdrowia, Państwowa Inspekcja Sanitarna, osoby upoważnione do informacji o stanie zdrowia pacjenta, pełnomocnik pacjenta, a w szczególnych przypadkach: Sądy, Prokuratura oraz Policja, a także firmy ubezpieczeniowe.</w:t>
      </w:r>
    </w:p>
    <w:p w14:paraId="00FB3540" w14:textId="77777777" w:rsidR="00B53F76" w:rsidRPr="00284EAA" w:rsidRDefault="00B53F76" w:rsidP="00B53F76">
      <w:pPr>
        <w:tabs>
          <w:tab w:val="left" w:pos="426"/>
        </w:tabs>
        <w:jc w:val="both"/>
        <w:rPr>
          <w:rFonts w:ascii="Aptos" w:hAnsi="Aptos"/>
          <w:sz w:val="20"/>
          <w:szCs w:val="20"/>
        </w:rPr>
      </w:pPr>
    </w:p>
    <w:p w14:paraId="6952D79D" w14:textId="296E35D2" w:rsidR="00B53F76" w:rsidRPr="00284EAA" w:rsidRDefault="00B53F76" w:rsidP="00B53F76">
      <w:pPr>
        <w:tabs>
          <w:tab w:val="left" w:pos="426"/>
        </w:tabs>
        <w:jc w:val="both"/>
        <w:rPr>
          <w:rFonts w:ascii="Aptos" w:hAnsi="Aptos"/>
          <w:sz w:val="20"/>
          <w:szCs w:val="20"/>
        </w:rPr>
      </w:pPr>
      <w:r w:rsidRPr="00284EAA">
        <w:rPr>
          <w:rFonts w:ascii="Aptos" w:hAnsi="Aptos"/>
          <w:sz w:val="20"/>
          <w:szCs w:val="20"/>
        </w:rPr>
        <w:t>Dane osobowe mogą być też przekazywane:</w:t>
      </w:r>
    </w:p>
    <w:p w14:paraId="2A2687A4" w14:textId="77777777" w:rsidR="00B53F76" w:rsidRPr="00284EAA" w:rsidRDefault="00B53F76" w:rsidP="00B53F76">
      <w:pPr>
        <w:numPr>
          <w:ilvl w:val="1"/>
          <w:numId w:val="1"/>
        </w:numPr>
        <w:ind w:left="709" w:hanging="426"/>
        <w:jc w:val="both"/>
        <w:rPr>
          <w:rFonts w:ascii="Aptos" w:hAnsi="Aptos"/>
          <w:sz w:val="20"/>
          <w:szCs w:val="20"/>
        </w:rPr>
      </w:pPr>
      <w:r w:rsidRPr="00284EAA">
        <w:rPr>
          <w:rFonts w:ascii="Aptos" w:hAnsi="Aptos"/>
          <w:sz w:val="20"/>
          <w:szCs w:val="20"/>
        </w:rPr>
        <w:t xml:space="preserve">podmiotom przetwarzającym dane w imieniu administratora danych lub na podstawie stosownych umów podpisanych  z Administratorem, </w:t>
      </w:r>
    </w:p>
    <w:p w14:paraId="232E5DBF" w14:textId="77777777" w:rsidR="00B53F76" w:rsidRPr="00284EAA" w:rsidRDefault="00B53F76" w:rsidP="00B53F76">
      <w:pPr>
        <w:numPr>
          <w:ilvl w:val="1"/>
          <w:numId w:val="1"/>
        </w:numPr>
        <w:ind w:left="709" w:hanging="426"/>
        <w:jc w:val="both"/>
        <w:rPr>
          <w:rFonts w:ascii="Aptos" w:hAnsi="Aptos"/>
          <w:sz w:val="20"/>
          <w:szCs w:val="20"/>
        </w:rPr>
      </w:pPr>
      <w:r w:rsidRPr="00284EAA">
        <w:rPr>
          <w:rFonts w:ascii="Aptos" w:hAnsi="Aptos"/>
          <w:sz w:val="20"/>
          <w:szCs w:val="20"/>
        </w:rPr>
        <w:t xml:space="preserve">podmiotom uprawnionym przepisami prawa (organy władzy publicznej oraz podmioty wykonujące zadania publiczne lub działające na zlecenie organów władzy publicznej, w zakresie i w celach, które wynikają z przepisów powszechnie obowiązującego prawa), </w:t>
      </w:r>
    </w:p>
    <w:p w14:paraId="44CF2095" w14:textId="77777777" w:rsidR="00B53F76" w:rsidRPr="00284EAA" w:rsidRDefault="00B53F76" w:rsidP="00B53F76">
      <w:pPr>
        <w:numPr>
          <w:ilvl w:val="1"/>
          <w:numId w:val="1"/>
        </w:numPr>
        <w:ind w:left="709" w:hanging="426"/>
        <w:jc w:val="both"/>
        <w:rPr>
          <w:rFonts w:ascii="Aptos" w:hAnsi="Aptos"/>
          <w:sz w:val="20"/>
          <w:szCs w:val="20"/>
        </w:rPr>
      </w:pPr>
      <w:r w:rsidRPr="00284EAA">
        <w:rPr>
          <w:rFonts w:ascii="Aptos" w:hAnsi="Aptos"/>
          <w:sz w:val="20"/>
          <w:szCs w:val="20"/>
        </w:rPr>
        <w:t>podmiotom upoważnionym przez osoby, których dane dotyczą;</w:t>
      </w:r>
    </w:p>
    <w:p w14:paraId="5921D6CF" w14:textId="77777777" w:rsidR="00B53F76" w:rsidRPr="00284EAA" w:rsidRDefault="00B53F76" w:rsidP="00B53F76">
      <w:pPr>
        <w:numPr>
          <w:ilvl w:val="1"/>
          <w:numId w:val="1"/>
        </w:numPr>
        <w:ind w:left="709" w:hanging="426"/>
        <w:jc w:val="both"/>
        <w:rPr>
          <w:rFonts w:ascii="Aptos" w:hAnsi="Aptos"/>
          <w:sz w:val="20"/>
          <w:szCs w:val="20"/>
        </w:rPr>
      </w:pPr>
      <w:r w:rsidRPr="00284EAA">
        <w:rPr>
          <w:rFonts w:ascii="Aptos" w:hAnsi="Aptos"/>
          <w:sz w:val="20"/>
          <w:szCs w:val="20"/>
        </w:rPr>
        <w:t>nieokreślonemu kręgowi odbiorców w zakresie wizerunku upublicznionego na stronie internetowej i w mediach społecznościowych.</w:t>
      </w:r>
    </w:p>
    <w:p w14:paraId="023AA582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</w:p>
    <w:p w14:paraId="1EEC2BB1" w14:textId="51730FC4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 xml:space="preserve">6. Okres przechowywania danych </w:t>
      </w:r>
    </w:p>
    <w:p w14:paraId="41509656" w14:textId="77777777" w:rsidR="00B53F76" w:rsidRPr="00284EAA" w:rsidRDefault="00B53F76" w:rsidP="00B53F76">
      <w:pPr>
        <w:spacing w:before="12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ar-SA"/>
        </w:rPr>
        <w:t xml:space="preserve">Pani/Pana dane osobowe będą </w:t>
      </w: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hi-IN" w:bidi="hi-IN"/>
        </w:rPr>
        <w:t xml:space="preserve">przetwarzane w celu świadczenia usług zdrowotnych, </w:t>
      </w: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ar-SA"/>
        </w:rPr>
        <w:t xml:space="preserve">przez okres niezbędny do obrony ewentualnych roszczeń oraz zadań wynikających z ustaw szczególnych, w tym </w:t>
      </w: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hi-IN" w:bidi="hi-IN"/>
        </w:rPr>
        <w:t>ustawy z dnia 8 czerwca 2017 r. o prawach pacjenta i Rzeczniku Praw Pacjenta, tj. realizacji obowiązku przechowywania dokumentacji medycznej przez okres 20 lat, licząc od końca roku kalendarzowego, w którym dokonano ostatniego wpisu, z wyjątkiem:</w:t>
      </w:r>
    </w:p>
    <w:p w14:paraId="4BA434A3" w14:textId="77777777" w:rsidR="00B53F76" w:rsidRPr="00284EAA" w:rsidRDefault="00B53F76" w:rsidP="00B53F76">
      <w:pPr>
        <w:numPr>
          <w:ilvl w:val="0"/>
          <w:numId w:val="6"/>
        </w:numPr>
        <w:jc w:val="both"/>
        <w:rPr>
          <w:rFonts w:ascii="Aptos" w:hAnsi="Aptos" w:cs="Book Antiqua"/>
          <w:sz w:val="20"/>
          <w:szCs w:val="20"/>
        </w:rPr>
      </w:pPr>
      <w:bookmarkStart w:id="3" w:name="Bookmark20"/>
      <w:bookmarkEnd w:id="3"/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hi-IN" w:bidi="hi-IN"/>
        </w:rPr>
        <w:t>dokumentacji medycznej w przypadku zgonu pacjenta na skutek uszkodzenia ciała lub zatrucia, która jest przechowywana przez okres 30 lat, licząc od końca roku kalendarzowego, w którym nastąpił zgon;</w:t>
      </w:r>
    </w:p>
    <w:p w14:paraId="7584316B" w14:textId="77777777" w:rsidR="00B53F76" w:rsidRPr="00284EAA" w:rsidRDefault="00B53F76" w:rsidP="00B53F76">
      <w:pPr>
        <w:numPr>
          <w:ilvl w:val="0"/>
          <w:numId w:val="6"/>
        </w:numPr>
        <w:jc w:val="both"/>
        <w:rPr>
          <w:rFonts w:ascii="Aptos" w:hAnsi="Aptos" w:cs="Book Antiqua"/>
          <w:sz w:val="20"/>
          <w:szCs w:val="20"/>
        </w:rPr>
      </w:pPr>
      <w:bookmarkStart w:id="4" w:name="Bookmark21"/>
      <w:bookmarkEnd w:id="4"/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hi-IN" w:bidi="hi-IN"/>
        </w:rPr>
        <w:t>dokumentacji medycznej zawierającej dane niezbędne do monitorowania losów krwi i jej składników, która jest przechowywana przez okres 30 lat, licząc od końca roku kalendarzowego, w którym dokonano ostatniego wpisu;</w:t>
      </w:r>
    </w:p>
    <w:p w14:paraId="6B68DEC3" w14:textId="77777777" w:rsidR="00B53F76" w:rsidRPr="00284EAA" w:rsidRDefault="00B53F76" w:rsidP="00B53F76">
      <w:pPr>
        <w:numPr>
          <w:ilvl w:val="0"/>
          <w:numId w:val="6"/>
        </w:numPr>
        <w:jc w:val="both"/>
        <w:rPr>
          <w:rFonts w:ascii="Aptos" w:hAnsi="Aptos" w:cs="Book Antiqua"/>
          <w:sz w:val="20"/>
          <w:szCs w:val="20"/>
        </w:rPr>
      </w:pPr>
      <w:bookmarkStart w:id="5" w:name="Bookmark22"/>
      <w:bookmarkEnd w:id="5"/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hi-IN" w:bidi="hi-IN"/>
        </w:rPr>
        <w:t>zdjęć rentgenowskich przechowywanych poza dokumentacją medyczną pacjenta, które są przechowywane przez okres 10 lat, licząc od końca roku kalendarzowego, w którym wykonano zdjęcie;</w:t>
      </w:r>
    </w:p>
    <w:p w14:paraId="3136D9A6" w14:textId="77777777" w:rsidR="00B53F76" w:rsidRPr="00284EAA" w:rsidRDefault="00B53F76" w:rsidP="00B53F76">
      <w:pPr>
        <w:numPr>
          <w:ilvl w:val="0"/>
          <w:numId w:val="6"/>
        </w:numPr>
        <w:jc w:val="both"/>
        <w:rPr>
          <w:rFonts w:ascii="Aptos" w:hAnsi="Aptos" w:cs="Book Antiqua"/>
          <w:sz w:val="20"/>
          <w:szCs w:val="20"/>
        </w:rPr>
      </w:pPr>
      <w:bookmarkStart w:id="6" w:name="Bookmark23"/>
      <w:bookmarkEnd w:id="6"/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hi-IN" w:bidi="hi-IN"/>
        </w:rPr>
        <w:t xml:space="preserve">skierowań na badania lub zleceń lekarza, które są przechowywane przez okres: </w:t>
      </w:r>
    </w:p>
    <w:p w14:paraId="2048840E" w14:textId="77777777" w:rsidR="00B53F76" w:rsidRPr="00284EAA" w:rsidRDefault="00B53F76" w:rsidP="00B53F76">
      <w:pPr>
        <w:numPr>
          <w:ilvl w:val="2"/>
          <w:numId w:val="6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hi-IN" w:bidi="hi-IN"/>
        </w:rPr>
        <w:lastRenderedPageBreak/>
        <w:t xml:space="preserve">5 lat, licząc od końca roku kalendarzowego, w którym udzielono świadczenia zdrowotnego będącego przedmiotem skierowania lub zlecenia lekarza, </w:t>
      </w:r>
    </w:p>
    <w:p w14:paraId="18FEE342" w14:textId="77777777" w:rsidR="00B53F76" w:rsidRPr="00284EAA" w:rsidRDefault="00B53F76" w:rsidP="00B53F76">
      <w:pPr>
        <w:numPr>
          <w:ilvl w:val="2"/>
          <w:numId w:val="6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hi-IN" w:bidi="hi-IN"/>
        </w:rPr>
        <w:t>2 lat, licząc od końca roku kalendarzowego, w którym wystawiono skierowanie - w przypadku gdy świadczenie zdrowotne nie zostało udzielone z powodu niezgłoszenia się pacjenta w ustalonym terminie, chyba że pacjent odebrał skierowanie;</w:t>
      </w:r>
      <w:bookmarkStart w:id="7" w:name="Bookmark24"/>
      <w:bookmarkEnd w:id="7"/>
    </w:p>
    <w:p w14:paraId="05610A1C" w14:textId="77777777" w:rsidR="00B53F76" w:rsidRPr="00284EAA" w:rsidRDefault="00B53F76" w:rsidP="00B53F76">
      <w:pPr>
        <w:numPr>
          <w:ilvl w:val="0"/>
          <w:numId w:val="6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color w:val="000000"/>
          <w:kern w:val="2"/>
          <w:sz w:val="20"/>
          <w:szCs w:val="20"/>
          <w:lang w:eastAsia="ar-SA"/>
        </w:rPr>
        <w:t xml:space="preserve"> dokumentacji medycznej dotyczącej dzieci do ukończenia drugiego roku życia, która jest przechowywana przez okres 22 lat.</w:t>
      </w:r>
    </w:p>
    <w:p w14:paraId="76CD914F" w14:textId="77777777" w:rsidR="00B53F76" w:rsidRPr="00284EAA" w:rsidRDefault="00B53F76" w:rsidP="00B53F76">
      <w:pPr>
        <w:spacing w:before="120"/>
        <w:ind w:left="360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Okres przetwarzania danych osobowych zebranych w trakcie hospitalizacji określa art. 29 ustawy o prawach pacjenta i Rzeczniku Praw Pacjenta.</w:t>
      </w:r>
    </w:p>
    <w:p w14:paraId="19F0AE04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</w:p>
    <w:p w14:paraId="6554F95F" w14:textId="03B68D0D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W przypadku przetwarzania na podstawie zgody, dane osobowe będą przechowywane przez czas niezbędny do realizacji celu, na który wyrażono zgodę, w szczególności do odwołania zgody lub zakończenia działań promocyjnych.</w:t>
      </w:r>
    </w:p>
    <w:p w14:paraId="7353341F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</w:p>
    <w:p w14:paraId="5A037DEC" w14:textId="574D10C0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 xml:space="preserve">7. Prawa osób, których dane dotyczą </w:t>
      </w:r>
    </w:p>
    <w:p w14:paraId="5302BFE5" w14:textId="7181FACE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Posiadają Państwo prawo do: żądania od Administratora dostępu do danych osobowych, prawo do ich sprostowania, a także, w zakresie wynikającym z obowiązujących przepisów prawa: prawo do ograniczenia przetwarzania, prawo żądania usunięcia danych, prawo do wniesienia sprzeciwu wobec przetwarzania, prawo do przenoszenia danych. </w:t>
      </w:r>
      <w:r w:rsidR="000462C9" w:rsidRPr="00284EAA">
        <w:rPr>
          <w:rFonts w:ascii="Aptos" w:hAnsi="Aptos" w:cs="Book Antiqua"/>
          <w:sz w:val="20"/>
          <w:szCs w:val="20"/>
        </w:rPr>
        <w:t>Prawo sprzeciwu przysługuje wyłącznie wobec przetwarzania opartego na art. 6 ust. 1 lit. f RODO (np. dochodzenie roszczeń); nie przysługuje wobec przetwarzania na podstawie przepisów prawa (art. 6 ust. 1 lit. c) ani w celu ochrony żywotnych interesów (art. 6 ust. 1 lit. d).</w:t>
      </w:r>
    </w:p>
    <w:p w14:paraId="2B888304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W przypadku przetwarzania danych osobowych w ramach wykonania zadania realizowanego w interesie publicznym lub na podstawie prawnie uzasadnionego interesu Administratora, przysługuje Państwu prawo do wniesienia sprzeciwu wobec przetwarzania danych osobowych – z przyczyn związanych z Państwa szczególną sytuacją. </w:t>
      </w:r>
    </w:p>
    <w:p w14:paraId="2F170D97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</w:p>
    <w:p w14:paraId="22712B3B" w14:textId="0716C691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 xml:space="preserve">8. Obowiązek lub dobrowolność podania danych </w:t>
      </w:r>
    </w:p>
    <w:p w14:paraId="599B72CE" w14:textId="004BBD4E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Zgodnie z art. 25 ust. 1 ustawy o prawach pacjenta i Rzeczniku Praw Pacjenta niezbędne jest podanie takich danych jak:</w:t>
      </w:r>
    </w:p>
    <w:p w14:paraId="3B9023B9" w14:textId="236521BF" w:rsidR="00B53F76" w:rsidRPr="00284EAA" w:rsidRDefault="00B53F76" w:rsidP="00B53F76">
      <w:pPr>
        <w:pStyle w:val="Default"/>
        <w:numPr>
          <w:ilvl w:val="0"/>
          <w:numId w:val="2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nazwisko i imię (imiona) pacjenta, </w:t>
      </w:r>
    </w:p>
    <w:p w14:paraId="23B756B6" w14:textId="1AC535A9" w:rsidR="00B53F76" w:rsidRPr="00284EAA" w:rsidRDefault="00B53F76" w:rsidP="00B53F76">
      <w:pPr>
        <w:pStyle w:val="Default"/>
        <w:numPr>
          <w:ilvl w:val="0"/>
          <w:numId w:val="2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datę urodzenia pacjenta, </w:t>
      </w:r>
    </w:p>
    <w:p w14:paraId="4B864A2D" w14:textId="1AA8658B" w:rsidR="00B53F76" w:rsidRPr="00284EAA" w:rsidRDefault="00B53F76" w:rsidP="00B53F76">
      <w:pPr>
        <w:pStyle w:val="Default"/>
        <w:numPr>
          <w:ilvl w:val="0"/>
          <w:numId w:val="2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oznaczenie płci pacjenta, </w:t>
      </w:r>
    </w:p>
    <w:p w14:paraId="79D873D1" w14:textId="494C5478" w:rsidR="00B53F76" w:rsidRPr="00284EAA" w:rsidRDefault="00B53F76" w:rsidP="00B53F76">
      <w:pPr>
        <w:pStyle w:val="Default"/>
        <w:numPr>
          <w:ilvl w:val="0"/>
          <w:numId w:val="2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adres miejsca zamieszkania pacjenta, </w:t>
      </w:r>
    </w:p>
    <w:p w14:paraId="7FE00019" w14:textId="10516AAB" w:rsidR="00B53F76" w:rsidRPr="00284EAA" w:rsidRDefault="00B53F76" w:rsidP="00B53F76">
      <w:pPr>
        <w:pStyle w:val="Default"/>
        <w:numPr>
          <w:ilvl w:val="0"/>
          <w:numId w:val="2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numer telefonu kontaktowego pacjenta,</w:t>
      </w:r>
    </w:p>
    <w:p w14:paraId="4F70C3EE" w14:textId="1E75EB41" w:rsidR="00B53F76" w:rsidRPr="00284EAA" w:rsidRDefault="00B53F76" w:rsidP="00B53F76">
      <w:pPr>
        <w:pStyle w:val="Default"/>
        <w:numPr>
          <w:ilvl w:val="0"/>
          <w:numId w:val="2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numer PESEL, jeżeli został nadany, w przypadku noworodka - numer PESEL matki, a w przypadku osób, które nie mają nadanego numeru PESEL - rodzaj i numer dokumentu potwierdzającego tożsamość, </w:t>
      </w:r>
    </w:p>
    <w:p w14:paraId="34195D40" w14:textId="2CCEDAE1" w:rsidR="00B53F76" w:rsidRPr="00284EAA" w:rsidRDefault="00B53F76" w:rsidP="00B53F76">
      <w:pPr>
        <w:pStyle w:val="Default"/>
        <w:numPr>
          <w:ilvl w:val="0"/>
          <w:numId w:val="2"/>
        </w:numPr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w przypadku gdy pacjentem jest osoba małoletnia, całkowicie ubezwłasnowolniona lub niezdolna do świadomego wyrażenia zgody - nazwisko i imię (imiona) przedstawiciela ustawowego oraz adres jego miejsca zamieszkania; </w:t>
      </w:r>
    </w:p>
    <w:p w14:paraId="513221F8" w14:textId="4C1B2748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Korzystanie z usług jest dobrowolne, jednakże jako podmiot leczniczy jesteśmy zobowiązani do prowadzenia dokumentacji medycznej w sposób określony przepisami prawa, w tym do oznaczenia tożsamości pacjenta z wykorzystaniem jego danych osobowych. Niepodanie danych może skutkować odmową rezerwacji wizyty lub udzielenia świadczenia zdrowotnego (nie dotyczy to sytuacji zagrożenia życia, czy pacjentów nieprzytomnych).</w:t>
      </w:r>
    </w:p>
    <w:p w14:paraId="6A9433F3" w14:textId="7E4DDC77" w:rsidR="00B53F76" w:rsidRPr="00284EAA" w:rsidRDefault="000462C9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Jeżeli p</w:t>
      </w:r>
      <w:r w:rsidR="00B53F76" w:rsidRPr="00284EAA">
        <w:rPr>
          <w:rFonts w:ascii="Aptos" w:hAnsi="Aptos" w:cs="Book Antiqua"/>
          <w:sz w:val="20"/>
          <w:szCs w:val="20"/>
        </w:rPr>
        <w:t xml:space="preserve">odstawą prawną przetwarzania danych jest zgoda, a podanie danych osobowych jest dobrowolne. W przypadku pozyskiwania danych na podstawie zgody, przysługuje Państwu prawo wycofania zgody w każdym czasie. Wycofanie zgody pozostaje bez wpływu na zgodność z prawem przetwarzania, którego dokonano na podstawie zgody przed jej cofnięciem. Dane gromadzone na podstawie zgody, co do zasady, przechowywane są przez okres wskazany w ramach informacji towarzyszącej takiej zgodzie lub do czasu wycofania zgody. </w:t>
      </w:r>
    </w:p>
    <w:p w14:paraId="5299CFFC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b/>
          <w:bCs/>
          <w:sz w:val="20"/>
          <w:szCs w:val="20"/>
        </w:rPr>
      </w:pPr>
    </w:p>
    <w:p w14:paraId="71CCE729" w14:textId="2D17DFEE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>9. Informacja o profilowaniu i przekazywaniu do państwa trzeciego</w:t>
      </w:r>
    </w:p>
    <w:p w14:paraId="5CCD1052" w14:textId="00111E45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 xml:space="preserve">Dane osobowe nie będą przetwarzane w sposób zautomatyzowany, nie będą poddane zautomatyzowanemu podejmowaniu decyzji (w tym również w formie profilowania) wywołujących skutki prawne. </w:t>
      </w:r>
      <w:r w:rsidR="000462C9" w:rsidRPr="00284EAA">
        <w:rPr>
          <w:rFonts w:ascii="Aptos" w:hAnsi="Aptos" w:cs="Book Antiqua"/>
          <w:sz w:val="20"/>
          <w:szCs w:val="20"/>
        </w:rPr>
        <w:t>Co do zasady nie przekazujemy danych poza EOG; w razie potrzeby zastosujemy mechanizmy z rozdziału V RODO (np. standardowe klauzule umowne).</w:t>
      </w:r>
    </w:p>
    <w:p w14:paraId="41F80084" w14:textId="77777777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</w:p>
    <w:p w14:paraId="6238A2EA" w14:textId="7A9D9CC1" w:rsidR="00B53F76" w:rsidRPr="00284EAA" w:rsidRDefault="00B53F76" w:rsidP="00B53F76">
      <w:pPr>
        <w:pStyle w:val="Default"/>
        <w:jc w:val="both"/>
        <w:rPr>
          <w:rFonts w:ascii="Aptos" w:hAnsi="Aptos" w:cs="Book Antiqua"/>
          <w:sz w:val="20"/>
          <w:szCs w:val="20"/>
        </w:rPr>
      </w:pPr>
      <w:r w:rsidRPr="00284EAA">
        <w:rPr>
          <w:rFonts w:ascii="Aptos" w:hAnsi="Aptos" w:cs="Book Antiqua"/>
          <w:b/>
          <w:bCs/>
          <w:sz w:val="20"/>
          <w:szCs w:val="20"/>
        </w:rPr>
        <w:t xml:space="preserve">10. Prawo do kontaktu z organem nadzorczym </w:t>
      </w:r>
    </w:p>
    <w:p w14:paraId="31CED87B" w14:textId="77777777" w:rsidR="00B53F76" w:rsidRPr="00284EAA" w:rsidRDefault="00B53F76" w:rsidP="00B53F76">
      <w:pPr>
        <w:jc w:val="both"/>
        <w:rPr>
          <w:rFonts w:ascii="Aptos" w:hAnsi="Aptos" w:cs="Book Antiqua"/>
          <w:i/>
          <w:iCs/>
          <w:sz w:val="20"/>
          <w:szCs w:val="20"/>
        </w:rPr>
      </w:pPr>
      <w:r w:rsidRPr="00284EAA">
        <w:rPr>
          <w:rFonts w:ascii="Aptos" w:hAnsi="Aptos" w:cs="Book Antiqua"/>
          <w:sz w:val="20"/>
          <w:szCs w:val="20"/>
        </w:rPr>
        <w:t>Przysługuje Państwu także prawo wniesienia skargi do organu nadzorczego, tj. Prezesa Urzędu Ochrony Danych Osobowych (ul. Moniuszki 1A, 00-014 Warszawa).</w:t>
      </w:r>
    </w:p>
    <w:bookmarkEnd w:id="0"/>
    <w:p w14:paraId="7AE90DED" w14:textId="77777777" w:rsidR="00B441B4" w:rsidRPr="00284EAA" w:rsidRDefault="00B441B4">
      <w:pPr>
        <w:rPr>
          <w:rFonts w:ascii="Aptos" w:hAnsi="Aptos"/>
          <w:sz w:val="20"/>
          <w:szCs w:val="20"/>
        </w:rPr>
      </w:pPr>
    </w:p>
    <w:sectPr w:rsidR="00B441B4" w:rsidRPr="00284EAA" w:rsidSect="00B53F76">
      <w:pgSz w:w="11906" w:h="16838" w:code="9"/>
      <w:pgMar w:top="102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089"/>
    <w:multiLevelType w:val="hybridMultilevel"/>
    <w:tmpl w:val="4C42D9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2B62"/>
    <w:multiLevelType w:val="multilevel"/>
    <w:tmpl w:val="863044AE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hint="default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24F"/>
    <w:multiLevelType w:val="hybridMultilevel"/>
    <w:tmpl w:val="8168081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09B0F58"/>
    <w:multiLevelType w:val="hybridMultilevel"/>
    <w:tmpl w:val="9DD475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2A9E"/>
    <w:multiLevelType w:val="hybridMultilevel"/>
    <w:tmpl w:val="FC420112"/>
    <w:lvl w:ilvl="0" w:tplc="77B6E39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17A68A78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B79E4"/>
    <w:multiLevelType w:val="multilevel"/>
    <w:tmpl w:val="02780630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"/>
      <w:lvlJc w:val="left"/>
      <w:pPr>
        <w:ind w:left="2160" w:hanging="18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158"/>
    <w:multiLevelType w:val="hybridMultilevel"/>
    <w:tmpl w:val="B64ADF96"/>
    <w:lvl w:ilvl="0" w:tplc="FB4AEDC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71684"/>
    <w:multiLevelType w:val="hybridMultilevel"/>
    <w:tmpl w:val="01FEE72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85092830">
    <w:abstractNumId w:val="4"/>
  </w:num>
  <w:num w:numId="2" w16cid:durableId="855461788">
    <w:abstractNumId w:val="3"/>
  </w:num>
  <w:num w:numId="3" w16cid:durableId="328605233">
    <w:abstractNumId w:val="6"/>
  </w:num>
  <w:num w:numId="4" w16cid:durableId="1928417253">
    <w:abstractNumId w:val="1"/>
  </w:num>
  <w:num w:numId="5" w16cid:durableId="2047561190">
    <w:abstractNumId w:val="5"/>
  </w:num>
  <w:num w:numId="6" w16cid:durableId="1440444070">
    <w:abstractNumId w:val="0"/>
  </w:num>
  <w:num w:numId="7" w16cid:durableId="1388064294">
    <w:abstractNumId w:val="7"/>
  </w:num>
  <w:num w:numId="8" w16cid:durableId="149429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D8"/>
    <w:rsid w:val="000462C9"/>
    <w:rsid w:val="000F0869"/>
    <w:rsid w:val="001173F3"/>
    <w:rsid w:val="00284EAA"/>
    <w:rsid w:val="004E47B4"/>
    <w:rsid w:val="007B5958"/>
    <w:rsid w:val="00855EDA"/>
    <w:rsid w:val="00A52A64"/>
    <w:rsid w:val="00AB06BE"/>
    <w:rsid w:val="00B07A50"/>
    <w:rsid w:val="00B2091C"/>
    <w:rsid w:val="00B441B4"/>
    <w:rsid w:val="00B53F76"/>
    <w:rsid w:val="00C76FD8"/>
    <w:rsid w:val="00F0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6AB4"/>
  <w15:chartTrackingRefBased/>
  <w15:docId w15:val="{A33D9E8B-75A0-4C6C-B7C7-D2AE6C3F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F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F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F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F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F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F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F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76F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F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F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FD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B53F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1797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Więsław</dc:creator>
  <cp:keywords/>
  <dc:description/>
  <cp:lastModifiedBy>Dell</cp:lastModifiedBy>
  <cp:revision>2</cp:revision>
  <dcterms:created xsi:type="dcterms:W3CDTF">2025-12-01T10:20:00Z</dcterms:created>
  <dcterms:modified xsi:type="dcterms:W3CDTF">2025-12-01T10:20:00Z</dcterms:modified>
</cp:coreProperties>
</file>